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DBBA" w14:textId="3CF54F09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>
        <w:tab/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Warszawa, </w:t>
      </w:r>
      <w:r w:rsidR="00D62773">
        <w:rPr>
          <w:rFonts w:ascii="FuturaTCE" w:eastAsia="FuturaTCE" w:hAnsi="FuturaTCE" w:cs="FuturaTCE"/>
          <w:sz w:val="24"/>
          <w:szCs w:val="24"/>
        </w:rPr>
        <w:t>17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stycznia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334DF4" w:rsidRPr="7FA2CBBE">
        <w:rPr>
          <w:rFonts w:ascii="FuturaTCE" w:eastAsia="FuturaTCE" w:hAnsi="FuturaTCE" w:cs="FuturaTCE"/>
          <w:sz w:val="24"/>
          <w:szCs w:val="24"/>
        </w:rPr>
        <w:t>4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725801C0" w14:textId="38DDEFA1" w:rsidR="00D62773" w:rsidRDefault="00D62773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W ostatnich dniach świat na nowo usłyszał o kryzysie w Jemenie, gdy ostrzelano porty i miasta w północnej części kraju. Konflikt, który trwa od 9 lat, może teraz wybuchnąć ze zdwojoną siłą</w:t>
      </w:r>
      <w:r w:rsidR="00517DC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.</w:t>
      </w:r>
    </w:p>
    <w:p w14:paraId="0FDCB5D3" w14:textId="2B2D87BB" w:rsidR="00810A16" w:rsidRDefault="6038FECC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Polska Akcja Humanitarna </w:t>
      </w:r>
      <w:r w:rsidR="007D2E59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ostrzega, że dotychczasowy kryzys może zamienić się w prawdziwą katastrofę humanitarną – </w:t>
      </w:r>
      <w:r w:rsidR="00A01298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oraz</w:t>
      </w:r>
      <w:r w:rsidR="007D2E59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apeluje o pilne wsparcie dla Jemeńczyków i Jemenek.</w:t>
      </w:r>
    </w:p>
    <w:p w14:paraId="280DF13A" w14:textId="29D995E4" w:rsidR="007D2E59" w:rsidRDefault="007D2E59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Niedożywienie,</w:t>
      </w:r>
      <w:r w:rsidRPr="007D2E5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epidemie choró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b, </w:t>
      </w:r>
      <w:r w:rsidRPr="007D2E59">
        <w:rPr>
          <w:rFonts w:ascii="FuturaTCE" w:eastAsia="FuturaTCE" w:hAnsi="FuturaTCE" w:cs="FuturaTCE"/>
          <w:color w:val="000000" w:themeColor="text1"/>
          <w:sz w:val="24"/>
          <w:szCs w:val="24"/>
        </w:rPr>
        <w:t>zniszczona infrastruktura sanitarna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i zapaść ochrony zdrowia są rzeczywistością mieszkańców Jemenu już od 2014 roku.</w:t>
      </w:r>
      <w:r w:rsidRPr="007D2E5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Lata wojny</w:t>
      </w:r>
      <w:r w:rsidRPr="007D2E5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sprawił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y</w:t>
      </w:r>
      <w:r w:rsidRPr="007D2E5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że pomocy humanitarnej </w:t>
      </w:r>
      <w:r w:rsidR="00D945C7">
        <w:rPr>
          <w:rFonts w:ascii="FuturaTCE" w:eastAsia="FuturaTCE" w:hAnsi="FuturaTCE" w:cs="FuturaTCE"/>
          <w:color w:val="000000" w:themeColor="text1"/>
          <w:sz w:val="24"/>
          <w:szCs w:val="24"/>
        </w:rPr>
        <w:t>potrzebuje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ponad połowa </w:t>
      </w:r>
      <w:r w:rsidRPr="007D2E5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populacji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Jemenu, czyli </w:t>
      </w:r>
      <w:r w:rsidR="00E9580D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ponad 18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mln osób</w:t>
      </w:r>
      <w:r w:rsidR="00517DC2">
        <w:rPr>
          <w:rFonts w:ascii="FuturaTCE" w:eastAsia="FuturaTCE" w:hAnsi="FuturaTCE" w:cs="FuturaTCE"/>
          <w:color w:val="000000" w:themeColor="text1"/>
          <w:sz w:val="24"/>
          <w:szCs w:val="24"/>
        </w:rPr>
        <w:t>, c</w:t>
      </w:r>
      <w:r w:rsidR="00D945C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 oznacza, że jest </w:t>
      </w:r>
      <w:r w:rsidR="00517DC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to </w:t>
      </w:r>
      <w:r w:rsidR="00D945C7">
        <w:rPr>
          <w:rFonts w:ascii="FuturaTCE" w:eastAsia="FuturaTCE" w:hAnsi="FuturaTCE" w:cs="FuturaTCE"/>
          <w:color w:val="000000" w:themeColor="text1"/>
          <w:sz w:val="24"/>
          <w:szCs w:val="24"/>
        </w:rPr>
        <w:t>wciąż największy kryzys humanitarny na świecie.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517DC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Szczególnie narażone są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kobiety w ciąży, małe dzieci oraz osoby, które musiały uciekać ze swoich domów przez </w:t>
      </w:r>
      <w:r w:rsidR="00E9580D">
        <w:rPr>
          <w:rFonts w:ascii="FuturaTCE" w:eastAsia="FuturaTCE" w:hAnsi="FuturaTCE" w:cs="FuturaTCE"/>
          <w:color w:val="000000" w:themeColor="text1"/>
          <w:sz w:val="24"/>
          <w:szCs w:val="24"/>
        </w:rPr>
        <w:t>toczące się walki</w:t>
      </w:r>
      <w:r w:rsidR="00D945C7"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</w:p>
    <w:p w14:paraId="7614BE93" w14:textId="0755F6C3" w:rsidR="00334DF4" w:rsidRDefault="058BB5B9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025857">
        <w:rPr>
          <w:rFonts w:ascii="FuturaTCE" w:eastAsia="FuturaTCE" w:hAnsi="FuturaTCE" w:cs="FuturaTCE"/>
          <w:sz w:val="24"/>
          <w:szCs w:val="24"/>
        </w:rPr>
        <w:t xml:space="preserve">Sytuacja </w:t>
      </w:r>
      <w:r w:rsidR="00D945C7">
        <w:rPr>
          <w:rFonts w:ascii="FuturaTCE" w:eastAsia="FuturaTCE" w:hAnsi="FuturaTCE" w:cs="FuturaTCE"/>
          <w:sz w:val="24"/>
          <w:szCs w:val="24"/>
        </w:rPr>
        <w:t>jest katastrofalna</w:t>
      </w:r>
      <w:r w:rsidR="00025857">
        <w:rPr>
          <w:rFonts w:ascii="FuturaTCE" w:eastAsia="FuturaTCE" w:hAnsi="FuturaTCE" w:cs="FuturaTCE"/>
          <w:sz w:val="24"/>
          <w:szCs w:val="24"/>
        </w:rPr>
        <w:t>, bo</w:t>
      </w:r>
      <w:r w:rsidR="00D945C7">
        <w:rPr>
          <w:rFonts w:ascii="FuturaTCE" w:eastAsia="FuturaTCE" w:hAnsi="FuturaTCE" w:cs="FuturaTCE"/>
          <w:sz w:val="24"/>
          <w:szCs w:val="24"/>
        </w:rPr>
        <w:t xml:space="preserve"> kraj jest wycieńczony przedłużającą się wojną i </w:t>
      </w:r>
      <w:r w:rsidR="00517DC2">
        <w:rPr>
          <w:rFonts w:ascii="FuturaTCE" w:eastAsia="FuturaTCE" w:hAnsi="FuturaTCE" w:cs="FuturaTCE"/>
          <w:sz w:val="24"/>
          <w:szCs w:val="24"/>
        </w:rPr>
        <w:t>uzależniony od</w:t>
      </w:r>
      <w:r w:rsidR="00D945C7">
        <w:rPr>
          <w:rFonts w:ascii="FuturaTCE" w:eastAsia="FuturaTCE" w:hAnsi="FuturaTCE" w:cs="FuturaTCE"/>
          <w:sz w:val="24"/>
          <w:szCs w:val="24"/>
        </w:rPr>
        <w:t xml:space="preserve"> </w:t>
      </w:r>
      <w:r w:rsidR="00517DC2">
        <w:rPr>
          <w:rFonts w:ascii="FuturaTCE" w:eastAsia="FuturaTCE" w:hAnsi="FuturaTCE" w:cs="FuturaTCE"/>
          <w:sz w:val="24"/>
          <w:szCs w:val="24"/>
        </w:rPr>
        <w:t>zewnętrznej pomocy</w:t>
      </w:r>
      <w:r w:rsidR="00D945C7">
        <w:rPr>
          <w:rFonts w:ascii="FuturaTCE" w:eastAsia="FuturaTCE" w:hAnsi="FuturaTCE" w:cs="FuturaTCE"/>
          <w:sz w:val="24"/>
          <w:szCs w:val="24"/>
        </w:rPr>
        <w:t xml:space="preserve"> 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– </w:t>
      </w:r>
      <w:r w:rsidR="00C276E8">
        <w:rPr>
          <w:rFonts w:ascii="FuturaTCE" w:eastAsia="FuturaTCE" w:hAnsi="FuturaTCE" w:cs="FuturaTCE"/>
          <w:color w:val="000000" w:themeColor="text1"/>
          <w:sz w:val="24"/>
          <w:szCs w:val="24"/>
        </w:rPr>
        <w:t>mówi</w:t>
      </w:r>
      <w:r w:rsidR="0002585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Małgorzata Pietrzak, koordynatorka działań PAH w Jemenie.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1EC1AB88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02585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Potrzeba w zasadzie wszystkiego: żywności, czystej wody, leków. Czujemy </w:t>
      </w:r>
      <w:r w:rsidR="00824A93">
        <w:rPr>
          <w:rFonts w:ascii="FuturaTCE" w:eastAsia="FuturaTCE" w:hAnsi="FuturaTCE" w:cs="FuturaTCE"/>
          <w:color w:val="000000" w:themeColor="text1"/>
          <w:sz w:val="24"/>
          <w:szCs w:val="24"/>
        </w:rPr>
        <w:t>wielką</w:t>
      </w:r>
      <w:r w:rsidR="00025857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odpowiedzialność za ludzi, którym pomagamy, więc boimy się tego, co przyniosą kolejne tygodnie.</w:t>
      </w:r>
    </w:p>
    <w:p w14:paraId="10F30836" w14:textId="4D84787C" w:rsidR="00D965AB" w:rsidRDefault="00D965AB" w:rsidP="133E99DB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Naloty, które uderzyły w porty i miasta w północnej części kraju – w tym Sanę i Al-Hudajdę – mogą zniweczyć wielomiesięczne wysiłki na rzecz zawieszenia broni, od którego zależy dostęp do pomocy humanitarnej w odizolowanych rejonach Jemenu. Organizacje pracujące na miejscu, w tym PAH, obawiają się też masowych przemieszczeń z północy na południe i nagłego wzrostu potrzeb humanitarnych.</w:t>
      </w:r>
    </w:p>
    <w:p w14:paraId="526B19EB" w14:textId="115F5ABE" w:rsidR="00D965AB" w:rsidRDefault="00D965AB" w:rsidP="133E99DB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- Już teraz w Jemenie 4,5 z 32 mln osób zostało pozbawione domu i </w:t>
      </w:r>
      <w:r w:rsidR="00E1022D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poczucia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bezpieczeństwa. Co się stanie, gdy zaostrzą się działania zbrojne? – pyta Helena Krajewska, rzeczniczka PAH. – Dla nas najważniejsze jest, aby dalej móc docierać ze wsparciem, co przy ograniczonych zasobach będzie bardzo trudne.</w:t>
      </w:r>
    </w:p>
    <w:p w14:paraId="132EE777" w14:textId="55F8486E" w:rsidR="00E9580D" w:rsidRDefault="00E9580D" w:rsidP="133E99DB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W przyfrontowym regionie Ma’rib PAH zarządza 4 obozami, zapewniając m.in. dostęp do opieki medycznej, czystej wody i podstawowych artykułów. Skala potrzeb jest ogromna, a finansowanie dla pomocy - niewystarczające. Bez dodatkowych środków i w obliczu możliwego zaognienia konfliktu w najbliższym czasie może tam dojść do prawdziwej katastrofy humanitarnej.</w:t>
      </w:r>
    </w:p>
    <w:p w14:paraId="12B5CFD3" w14:textId="01D1E446" w:rsidR="00BB120A" w:rsidRDefault="00BB120A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BB120A">
        <w:rPr>
          <w:rFonts w:ascii="FuturaTCE" w:eastAsia="FuturaTCE" w:hAnsi="FuturaTCE" w:cs="FuturaTCE"/>
          <w:sz w:val="24"/>
          <w:szCs w:val="24"/>
        </w:rPr>
        <w:lastRenderedPageBreak/>
        <w:t>Polska Akcja Humanitarna od 3</w:t>
      </w:r>
      <w:r>
        <w:rPr>
          <w:rFonts w:ascii="FuturaTCE" w:eastAsia="FuturaTCE" w:hAnsi="FuturaTCE" w:cs="FuturaTCE"/>
          <w:sz w:val="24"/>
          <w:szCs w:val="24"/>
        </w:rPr>
        <w:t>1</w:t>
      </w:r>
      <w:r w:rsidRPr="00BB120A">
        <w:rPr>
          <w:rFonts w:ascii="FuturaTCE" w:eastAsia="FuturaTCE" w:hAnsi="FuturaTCE" w:cs="FuturaTCE"/>
          <w:sz w:val="24"/>
          <w:szCs w:val="24"/>
        </w:rPr>
        <w:t xml:space="preserve"> lat nieprzerwanie niesie pomoc ludziom w krajach dotkniętych głębokimi kryzysami humanitarnymi. Działania te są możliwe dzięki solidarności i finansowemu wsparciu darczyńców PAH – obywateli, instytucji i firm.</w:t>
      </w:r>
    </w:p>
    <w:p w14:paraId="1C326517" w14:textId="77777777" w:rsidR="00BB120A" w:rsidRDefault="00BB120A" w:rsidP="133E99DB">
      <w:pPr>
        <w:ind w:firstLine="708"/>
        <w:jc w:val="center"/>
        <w:rPr>
          <w:rFonts w:ascii="FuturaTCE" w:eastAsia="FuturaTCE" w:hAnsi="FuturaTCE" w:cs="FuturaTCE"/>
          <w:sz w:val="24"/>
          <w:szCs w:val="24"/>
        </w:rPr>
      </w:pPr>
    </w:p>
    <w:p w14:paraId="18B01F51" w14:textId="5C12F803" w:rsidR="0088606E" w:rsidRPr="006C56A4" w:rsidRDefault="007C4C43" w:rsidP="133E99DB">
      <w:pPr>
        <w:ind w:firstLine="708"/>
        <w:jc w:val="center"/>
      </w:pPr>
      <w:r w:rsidRPr="006C56A4">
        <w:rPr>
          <w:rFonts w:ascii="FuturaTCE" w:eastAsia="FuturaTCE" w:hAnsi="FuturaTCE" w:cs="FuturaTCE"/>
          <w:b/>
          <w:bCs/>
          <w:sz w:val="28"/>
          <w:szCs w:val="28"/>
        </w:rPr>
        <w:t>Wesprzyj obecne i przyszłe</w:t>
      </w:r>
      <w:r w:rsidR="5775E18F" w:rsidRPr="006C56A4">
        <w:rPr>
          <w:rFonts w:ascii="FuturaTCE" w:eastAsia="FuturaTCE" w:hAnsi="FuturaTCE" w:cs="FuturaTCE"/>
          <w:b/>
          <w:bCs/>
          <w:sz w:val="28"/>
          <w:szCs w:val="28"/>
        </w:rPr>
        <w:t xml:space="preserve"> działania</w:t>
      </w:r>
      <w:r w:rsidRPr="006C56A4">
        <w:rPr>
          <w:rFonts w:ascii="FuturaTCE" w:eastAsia="FuturaTCE" w:hAnsi="FuturaTCE" w:cs="FuturaTCE"/>
          <w:b/>
          <w:bCs/>
          <w:sz w:val="28"/>
          <w:szCs w:val="28"/>
        </w:rPr>
        <w:t xml:space="preserve"> PAH</w:t>
      </w:r>
      <w:r w:rsidR="5775E18F" w:rsidRPr="006C56A4">
        <w:rPr>
          <w:rFonts w:ascii="FuturaTCE" w:eastAsia="FuturaTCE" w:hAnsi="FuturaTCE" w:cs="FuturaTCE"/>
          <w:b/>
          <w:bCs/>
          <w:sz w:val="28"/>
          <w:szCs w:val="28"/>
        </w:rPr>
        <w:t>:</w:t>
      </w:r>
    </w:p>
    <w:p w14:paraId="36C75DDD" w14:textId="149637CD" w:rsidR="0088606E" w:rsidRPr="006C56A4" w:rsidRDefault="00594195" w:rsidP="133E99DB">
      <w:pPr>
        <w:jc w:val="both"/>
      </w:pPr>
      <w:r w:rsidRPr="006C56A4">
        <w:br/>
      </w:r>
      <w:r w:rsidR="5775E18F" w:rsidRPr="006C56A4">
        <w:rPr>
          <w:rFonts w:ascii="FuturaTCE" w:eastAsia="FuturaTCE" w:hAnsi="FuturaTCE" w:cs="FuturaTCE"/>
          <w:sz w:val="24"/>
          <w:szCs w:val="24"/>
        </w:rPr>
        <w:t>- Wpłać poprzez stronę PAH: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  <w:hyperlink r:id="rId7" w:history="1">
        <w:r w:rsidR="006C56A4" w:rsidRPr="0040717E">
          <w:rPr>
            <w:rStyle w:val="Hipercze"/>
            <w:rFonts w:ascii="FuturaTCE" w:eastAsia="FuturaTCE" w:hAnsi="FuturaTCE" w:cs="FuturaTCE"/>
            <w:sz w:val="24"/>
            <w:szCs w:val="24"/>
          </w:rPr>
          <w:t>https://www.pah.org.pl/wplac</w:t>
        </w:r>
      </w:hyperlink>
      <w:r w:rsidR="006C56A4">
        <w:rPr>
          <w:rFonts w:ascii="FuturaTCE" w:eastAsia="FuturaTCE" w:hAnsi="FuturaTCE" w:cs="FuturaTCE"/>
          <w:sz w:val="24"/>
          <w:szCs w:val="24"/>
        </w:rPr>
        <w:t xml:space="preserve"> 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2ACBFDAB" w14:textId="540B78D5" w:rsidR="0088606E" w:rsidRDefault="5775E18F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6C56A4">
        <w:rPr>
          <w:rFonts w:ascii="FuturaTCE" w:eastAsia="FuturaTCE" w:hAnsi="FuturaTCE" w:cs="FuturaTCE"/>
          <w:sz w:val="24"/>
          <w:szCs w:val="24"/>
        </w:rPr>
        <w:t xml:space="preserve">- </w:t>
      </w:r>
      <w:r w:rsidR="006C56A4">
        <w:rPr>
          <w:rFonts w:ascii="FuturaTCE" w:eastAsia="FuturaTCE" w:hAnsi="FuturaTCE" w:cs="FuturaTCE"/>
          <w:sz w:val="24"/>
          <w:szCs w:val="24"/>
        </w:rPr>
        <w:t>Przekaż p</w:t>
      </w:r>
      <w:r w:rsidRPr="006C56A4">
        <w:rPr>
          <w:rFonts w:ascii="FuturaTCE" w:eastAsia="FuturaTCE" w:hAnsi="FuturaTCE" w:cs="FuturaTCE"/>
          <w:sz w:val="24"/>
          <w:szCs w:val="24"/>
        </w:rPr>
        <w:t>rzelew na konto nr: 02 2490 0005 0000 4600 8316 8772 z dopiskiem „</w:t>
      </w:r>
      <w:r w:rsidR="006C56A4" w:rsidRPr="006C56A4">
        <w:rPr>
          <w:rFonts w:ascii="FuturaTCE" w:eastAsia="FuturaTCE" w:hAnsi="FuturaTCE" w:cs="FuturaTCE"/>
          <w:sz w:val="24"/>
          <w:szCs w:val="24"/>
        </w:rPr>
        <w:t>Wpłacam na PAH</w:t>
      </w:r>
      <w:r w:rsidR="007C4C43" w:rsidRPr="006C56A4">
        <w:rPr>
          <w:rFonts w:ascii="FuturaTCE" w:eastAsia="FuturaTCE" w:hAnsi="FuturaTCE" w:cs="FuturaTCE"/>
          <w:sz w:val="24"/>
          <w:szCs w:val="24"/>
        </w:rPr>
        <w:t>”</w:t>
      </w:r>
    </w:p>
    <w:p w14:paraId="204C0FAF" w14:textId="77777777" w:rsidR="00E9580D" w:rsidRPr="00E9580D" w:rsidRDefault="00E9580D" w:rsidP="133E99DB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DC858C7" w14:textId="1B1EB699" w:rsidR="0088606E" w:rsidRDefault="5775E18F" w:rsidP="133E99DB">
      <w:pPr>
        <w:jc w:val="both"/>
        <w:rPr>
          <w:rStyle w:val="Hipercze"/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 w:rsidR="000857BF">
        <w:rPr>
          <w:rFonts w:ascii="FuturaTCE" w:eastAsia="FuturaTCE" w:hAnsi="FuturaTCE" w:cs="FuturaTCE"/>
          <w:sz w:val="24"/>
          <w:szCs w:val="24"/>
        </w:rPr>
        <w:t>rzeczniczka prasowa PAH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/ tel. 501 66 33 33 / e-mail: </w:t>
      </w:r>
      <w:hyperlink r:id="rId8">
        <w:r w:rsidRPr="133E99DB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19C7BD9" w14:textId="77777777" w:rsidR="00BB120A" w:rsidRDefault="00BB120A" w:rsidP="00BB120A">
      <w:pPr>
        <w:jc w:val="both"/>
        <w:rPr>
          <w:rFonts w:ascii="FuturaTCE" w:eastAsia="FuturaTCE" w:hAnsi="FuturaTCE" w:cs="FuturaTCE"/>
          <w:color w:val="0563C1" w:themeColor="hyperlink"/>
          <w:sz w:val="24"/>
          <w:szCs w:val="24"/>
          <w:u w:val="single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9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63E47E0E" w14:textId="77777777" w:rsidR="00BB120A" w:rsidRDefault="00BB120A" w:rsidP="133E99DB">
      <w:pPr>
        <w:jc w:val="both"/>
      </w:pP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326F" w14:textId="77777777" w:rsidR="00FC1187" w:rsidRDefault="00FC1187" w:rsidP="00334DF4">
      <w:pPr>
        <w:spacing w:after="0" w:line="240" w:lineRule="auto"/>
      </w:pPr>
      <w:r>
        <w:separator/>
      </w:r>
    </w:p>
  </w:endnote>
  <w:endnote w:type="continuationSeparator" w:id="0">
    <w:p w14:paraId="6B5D2DF6" w14:textId="77777777" w:rsidR="00FC1187" w:rsidRDefault="00FC1187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ourier New"/>
    <w:panose1 w:val="00000000000000000012"/>
    <w:charset w:val="00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43E5" w14:textId="77777777" w:rsidR="00FC1187" w:rsidRDefault="00FC1187" w:rsidP="00334DF4">
      <w:pPr>
        <w:spacing w:after="0" w:line="240" w:lineRule="auto"/>
      </w:pPr>
      <w:r>
        <w:separator/>
      </w:r>
    </w:p>
  </w:footnote>
  <w:footnote w:type="continuationSeparator" w:id="0">
    <w:p w14:paraId="12417241" w14:textId="77777777" w:rsidR="00FC1187" w:rsidRDefault="00FC1187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2282F"/>
    <w:rsid w:val="00025857"/>
    <w:rsid w:val="00055463"/>
    <w:rsid w:val="000857BF"/>
    <w:rsid w:val="000914B4"/>
    <w:rsid w:val="000B1534"/>
    <w:rsid w:val="00141D03"/>
    <w:rsid w:val="001673D0"/>
    <w:rsid w:val="001954E4"/>
    <w:rsid w:val="001A267F"/>
    <w:rsid w:val="001B0A89"/>
    <w:rsid w:val="001E2CA5"/>
    <w:rsid w:val="00225494"/>
    <w:rsid w:val="00233EF9"/>
    <w:rsid w:val="002B2187"/>
    <w:rsid w:val="002C5741"/>
    <w:rsid w:val="002E7756"/>
    <w:rsid w:val="002F0E3C"/>
    <w:rsid w:val="003246D8"/>
    <w:rsid w:val="00334DF4"/>
    <w:rsid w:val="00422DDD"/>
    <w:rsid w:val="00496C34"/>
    <w:rsid w:val="004C202A"/>
    <w:rsid w:val="00517DC2"/>
    <w:rsid w:val="00523295"/>
    <w:rsid w:val="00571047"/>
    <w:rsid w:val="00594195"/>
    <w:rsid w:val="005C7CBD"/>
    <w:rsid w:val="005D2D75"/>
    <w:rsid w:val="005D6F55"/>
    <w:rsid w:val="00663D9C"/>
    <w:rsid w:val="006C56A4"/>
    <w:rsid w:val="007834FA"/>
    <w:rsid w:val="007919AB"/>
    <w:rsid w:val="007C4C43"/>
    <w:rsid w:val="007D048D"/>
    <w:rsid w:val="007D2E59"/>
    <w:rsid w:val="00810A16"/>
    <w:rsid w:val="00824A93"/>
    <w:rsid w:val="0088606E"/>
    <w:rsid w:val="008C60EA"/>
    <w:rsid w:val="009519FC"/>
    <w:rsid w:val="009678E9"/>
    <w:rsid w:val="009772E9"/>
    <w:rsid w:val="0099432E"/>
    <w:rsid w:val="00996281"/>
    <w:rsid w:val="009A52FE"/>
    <w:rsid w:val="009C2EB5"/>
    <w:rsid w:val="00A01298"/>
    <w:rsid w:val="00A1598C"/>
    <w:rsid w:val="00BB0530"/>
    <w:rsid w:val="00BB120A"/>
    <w:rsid w:val="00BC4645"/>
    <w:rsid w:val="00C276E8"/>
    <w:rsid w:val="00C700B4"/>
    <w:rsid w:val="00C9449C"/>
    <w:rsid w:val="00D62773"/>
    <w:rsid w:val="00D945C7"/>
    <w:rsid w:val="00D965AB"/>
    <w:rsid w:val="00D96B9F"/>
    <w:rsid w:val="00DA4EBB"/>
    <w:rsid w:val="00E1022D"/>
    <w:rsid w:val="00E1556F"/>
    <w:rsid w:val="00E9580D"/>
    <w:rsid w:val="00EE71D9"/>
    <w:rsid w:val="00EF1F53"/>
    <w:rsid w:val="00FB0FA9"/>
    <w:rsid w:val="00FC1187"/>
    <w:rsid w:val="011B5DBB"/>
    <w:rsid w:val="016DAC27"/>
    <w:rsid w:val="020253AF"/>
    <w:rsid w:val="0208DC73"/>
    <w:rsid w:val="03377AA2"/>
    <w:rsid w:val="039E2410"/>
    <w:rsid w:val="04334E4F"/>
    <w:rsid w:val="04F6EE32"/>
    <w:rsid w:val="050F36F9"/>
    <w:rsid w:val="058BB5B9"/>
    <w:rsid w:val="05DB1346"/>
    <w:rsid w:val="0637ABDD"/>
    <w:rsid w:val="064ADAA7"/>
    <w:rsid w:val="06A4F345"/>
    <w:rsid w:val="06FFB262"/>
    <w:rsid w:val="0729BE93"/>
    <w:rsid w:val="0837654A"/>
    <w:rsid w:val="08D902CB"/>
    <w:rsid w:val="093DFE92"/>
    <w:rsid w:val="09B63E16"/>
    <w:rsid w:val="09DC9407"/>
    <w:rsid w:val="09E1C573"/>
    <w:rsid w:val="0A40C380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7807EB"/>
    <w:rsid w:val="0E96DCCD"/>
    <w:rsid w:val="0E9E6C19"/>
    <w:rsid w:val="0F066513"/>
    <w:rsid w:val="0F818AEB"/>
    <w:rsid w:val="0F98A258"/>
    <w:rsid w:val="0FC09D18"/>
    <w:rsid w:val="0FEDA97E"/>
    <w:rsid w:val="101A8DFE"/>
    <w:rsid w:val="10534779"/>
    <w:rsid w:val="1056FDB9"/>
    <w:rsid w:val="109EC020"/>
    <w:rsid w:val="118BBD77"/>
    <w:rsid w:val="11A2C97A"/>
    <w:rsid w:val="11D60CDB"/>
    <w:rsid w:val="12068FFA"/>
    <w:rsid w:val="122064FF"/>
    <w:rsid w:val="12807DE3"/>
    <w:rsid w:val="12901A33"/>
    <w:rsid w:val="12A590FE"/>
    <w:rsid w:val="12E61086"/>
    <w:rsid w:val="131FD135"/>
    <w:rsid w:val="133E99DB"/>
    <w:rsid w:val="1371DD3C"/>
    <w:rsid w:val="147B0D4B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B0CCA4"/>
    <w:rsid w:val="16FBA483"/>
    <w:rsid w:val="17DDB787"/>
    <w:rsid w:val="17FAFEFB"/>
    <w:rsid w:val="18AE295D"/>
    <w:rsid w:val="192B6761"/>
    <w:rsid w:val="193759FF"/>
    <w:rsid w:val="1AC03A96"/>
    <w:rsid w:val="1AE67AC4"/>
    <w:rsid w:val="1B319E48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98203"/>
    <w:rsid w:val="25ABD05C"/>
    <w:rsid w:val="25BB8C53"/>
    <w:rsid w:val="2648C421"/>
    <w:rsid w:val="2654D094"/>
    <w:rsid w:val="26A47D2E"/>
    <w:rsid w:val="27BBC91B"/>
    <w:rsid w:val="27F0A0F5"/>
    <w:rsid w:val="281C3015"/>
    <w:rsid w:val="289931D9"/>
    <w:rsid w:val="294D6781"/>
    <w:rsid w:val="29AA57DD"/>
    <w:rsid w:val="29C6BC98"/>
    <w:rsid w:val="2A2131FB"/>
    <w:rsid w:val="2A76B78C"/>
    <w:rsid w:val="2A7FA036"/>
    <w:rsid w:val="2B0CBF04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14C4D87"/>
    <w:rsid w:val="3333539C"/>
    <w:rsid w:val="33E98A26"/>
    <w:rsid w:val="347984C6"/>
    <w:rsid w:val="348ABD53"/>
    <w:rsid w:val="36FCAF0A"/>
    <w:rsid w:val="37302968"/>
    <w:rsid w:val="37CA4235"/>
    <w:rsid w:val="382AFF5B"/>
    <w:rsid w:val="38CBF9C9"/>
    <w:rsid w:val="391985E9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78F32"/>
    <w:rsid w:val="3E7DF3C9"/>
    <w:rsid w:val="40111534"/>
    <w:rsid w:val="4019C42A"/>
    <w:rsid w:val="40B0BB3E"/>
    <w:rsid w:val="40CB9C3E"/>
    <w:rsid w:val="4110744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DF8253"/>
    <w:rsid w:val="4600B09E"/>
    <w:rsid w:val="4632A117"/>
    <w:rsid w:val="466A51C7"/>
    <w:rsid w:val="46A15971"/>
    <w:rsid w:val="484D5DB7"/>
    <w:rsid w:val="48D8FEE8"/>
    <w:rsid w:val="49BD8884"/>
    <w:rsid w:val="49CCCAB7"/>
    <w:rsid w:val="49FC1D2E"/>
    <w:rsid w:val="4A755F8E"/>
    <w:rsid w:val="4A8515E2"/>
    <w:rsid w:val="4ABF9D52"/>
    <w:rsid w:val="4AF79D4F"/>
    <w:rsid w:val="4B8E6FE6"/>
    <w:rsid w:val="4C1C4F44"/>
    <w:rsid w:val="4DB5A9DD"/>
    <w:rsid w:val="4E497A27"/>
    <w:rsid w:val="4EFBE2EA"/>
    <w:rsid w:val="4F3F69DC"/>
    <w:rsid w:val="4F62A5B6"/>
    <w:rsid w:val="5049DF61"/>
    <w:rsid w:val="50B073AF"/>
    <w:rsid w:val="51036E6F"/>
    <w:rsid w:val="51166D76"/>
    <w:rsid w:val="5198650F"/>
    <w:rsid w:val="526AEA14"/>
    <w:rsid w:val="52A652EB"/>
    <w:rsid w:val="53E42F69"/>
    <w:rsid w:val="54B0108B"/>
    <w:rsid w:val="5737BF05"/>
    <w:rsid w:val="5739C695"/>
    <w:rsid w:val="574C4867"/>
    <w:rsid w:val="575A538A"/>
    <w:rsid w:val="5775E18F"/>
    <w:rsid w:val="57DC3F30"/>
    <w:rsid w:val="5805D05E"/>
    <w:rsid w:val="583D599E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432BEE"/>
    <w:rsid w:val="5EBD55B5"/>
    <w:rsid w:val="5FF7D74B"/>
    <w:rsid w:val="6038FECC"/>
    <w:rsid w:val="606DD053"/>
    <w:rsid w:val="607680EC"/>
    <w:rsid w:val="60E5B9C0"/>
    <w:rsid w:val="611499E1"/>
    <w:rsid w:val="61201312"/>
    <w:rsid w:val="6141C939"/>
    <w:rsid w:val="62029A5D"/>
    <w:rsid w:val="62B06A42"/>
    <w:rsid w:val="63691077"/>
    <w:rsid w:val="6381ABBF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F76CC8"/>
    <w:rsid w:val="7199EBBA"/>
    <w:rsid w:val="7397E17E"/>
    <w:rsid w:val="73FE7DA5"/>
    <w:rsid w:val="74A8517B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80CC7C"/>
    <w:rsid w:val="7AD28DC4"/>
    <w:rsid w:val="7AEF4D7D"/>
    <w:rsid w:val="7BE1E410"/>
    <w:rsid w:val="7BEBCDA5"/>
    <w:rsid w:val="7C0EA45E"/>
    <w:rsid w:val="7D7DB471"/>
    <w:rsid w:val="7E360B64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rajewska@pa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h.org.pl/wpl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dalena.irzycka@pah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Krajewska, Helena</cp:lastModifiedBy>
  <cp:revision>15</cp:revision>
  <dcterms:created xsi:type="dcterms:W3CDTF">2023-12-29T13:15:00Z</dcterms:created>
  <dcterms:modified xsi:type="dcterms:W3CDTF">2024-01-16T15:50:00Z</dcterms:modified>
</cp:coreProperties>
</file>